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7902D68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6C6355">
        <w:rPr>
          <w:rFonts w:eastAsia="Times New Roman" w:cs="Times New Roman"/>
          <w:lang w:eastAsia="cs-CZ"/>
        </w:rPr>
        <w:t xml:space="preserve">1 </w:t>
      </w:r>
      <w:r w:rsidR="00D90F1F">
        <w:rPr>
          <w:rFonts w:eastAsia="Times New Roman" w:cs="Times New Roman"/>
          <w:lang w:eastAsia="cs-CZ"/>
        </w:rPr>
        <w:t>Kupní smlouvy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178A405E" w:rsidR="00D716B7" w:rsidRPr="006C6355" w:rsidRDefault="006C6355" w:rsidP="000D6E0A">
      <w:pPr>
        <w:pStyle w:val="Nadpis1"/>
        <w:rPr>
          <w:rFonts w:eastAsia="Times New Roman"/>
        </w:rPr>
      </w:pPr>
      <w:r>
        <w:rPr>
          <w:rFonts w:eastAsia="Times New Roman"/>
        </w:rPr>
        <w:t>Minimální rozsah úkonů spojených s provozem kotelny</w:t>
      </w:r>
    </w:p>
    <w:p w14:paraId="75014C4A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Administrativa spojená s provozem kotelny:</w:t>
      </w:r>
    </w:p>
    <w:p w14:paraId="4DD89F01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sledování a evidence spotřeby paliva,</w:t>
      </w:r>
    </w:p>
    <w:p w14:paraId="0A58C767" w14:textId="264BA3DD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zpracování diagramů spotře</w:t>
      </w:r>
      <w:r w:rsidR="00595F96">
        <w:t xml:space="preserve">by a jejich předávání </w:t>
      </w:r>
      <w:r w:rsidR="00D90F1F">
        <w:t>kupujícímu</w:t>
      </w:r>
      <w:r w:rsidRPr="006C6355">
        <w:t>,</w:t>
      </w:r>
    </w:p>
    <w:p w14:paraId="0AE66C53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zpracování a odeslání hlášení a placení poplatků za znečišťování vč. provozní evidence,</w:t>
      </w:r>
    </w:p>
    <w:p w14:paraId="44D65E94" w14:textId="52CA763F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 xml:space="preserve">poskytnutí kopie zpracovaného hlášení </w:t>
      </w:r>
      <w:r w:rsidR="00D90F1F">
        <w:t>kupujícímu</w:t>
      </w:r>
      <w:r>
        <w:t xml:space="preserve"> do jednoho měsíce</w:t>
      </w:r>
      <w:r w:rsidRPr="006C6355">
        <w:t xml:space="preserve"> po předání</w:t>
      </w:r>
      <w:r>
        <w:t>,</w:t>
      </w:r>
    </w:p>
    <w:p w14:paraId="6EF736F8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zpracování a udržování provozního řádu kotelny.</w:t>
      </w:r>
    </w:p>
    <w:p w14:paraId="1D04B4D1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Obsluha kotelny:</w:t>
      </w:r>
    </w:p>
    <w:p w14:paraId="58997EF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a celoroční nepřetržitý provoz kotelny,</w:t>
      </w:r>
    </w:p>
    <w:p w14:paraId="13A940D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 xml:space="preserve">odstraňování závad a poruch vzniklých na zařízení kotelny (kotle, čerpadla, </w:t>
      </w:r>
      <w:proofErr w:type="spellStart"/>
      <w:r w:rsidRPr="006C6355">
        <w:t>MaR</w:t>
      </w:r>
      <w:proofErr w:type="spellEnd"/>
      <w:r w:rsidRPr="006C6355">
        <w:t>, expanzní systém, úpravna vody),</w:t>
      </w:r>
    </w:p>
    <w:p w14:paraId="5F297A41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mimořádné výjezdy při poruchách zařízení kotelny,</w:t>
      </w:r>
    </w:p>
    <w:p w14:paraId="5543FD02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při mimořádných výjezdech – poruchy,</w:t>
      </w:r>
    </w:p>
    <w:p w14:paraId="2C4E170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mimořádné výjezdy při haváriích zařízení kotelny,</w:t>
      </w:r>
    </w:p>
    <w:p w14:paraId="4AD7726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při mimořádných výjezdech – havárie,</w:t>
      </w:r>
    </w:p>
    <w:p w14:paraId="464D2FC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úklid kotelny.</w:t>
      </w:r>
    </w:p>
    <w:p w14:paraId="1A2F25B6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Revize a prohlídky (dle příslušné legislativy):</w:t>
      </w:r>
    </w:p>
    <w:p w14:paraId="1DC67BF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elektro,</w:t>
      </w:r>
    </w:p>
    <w:p w14:paraId="628EFCE3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zabezpečení plynové kotelny,</w:t>
      </w:r>
    </w:p>
    <w:p w14:paraId="22886CD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odborné prohlídky a revize kouřových a spalinových cest,</w:t>
      </w:r>
    </w:p>
    <w:p w14:paraId="66C4BF9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tlakových nádob,</w:t>
      </w:r>
    </w:p>
    <w:p w14:paraId="24F7AA67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a kontroly plynových zařízení,</w:t>
      </w:r>
    </w:p>
    <w:p w14:paraId="4C50E604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odborné prohlídky kotelny,</w:t>
      </w:r>
    </w:p>
    <w:p w14:paraId="569514E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plynotěsnosti v kotelně a na rozvodech plynu,</w:t>
      </w:r>
    </w:p>
    <w:p w14:paraId="30508A0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autorizované měření emisí,</w:t>
      </w:r>
    </w:p>
    <w:p w14:paraId="1CCC4F1E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měření účinnosti spalování,</w:t>
      </w:r>
    </w:p>
    <w:p w14:paraId="6503EF30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vedení plánu kontrol a revizí, včetně revizních knih.</w:t>
      </w:r>
    </w:p>
    <w:p w14:paraId="62FBF49A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t> </w:t>
      </w:r>
      <w:r w:rsidRPr="006C6355">
        <w:rPr>
          <w:u w:val="single"/>
        </w:rPr>
        <w:t>Servis a opravy (dle příslušných norem):</w:t>
      </w:r>
    </w:p>
    <w:p w14:paraId="76E3B4E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odstraňování zjištěných závad vyplývajících z revizí a prohlídek v termínu stanoveném v jednotlivých zprávách,</w:t>
      </w:r>
    </w:p>
    <w:p w14:paraId="18A0C10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a seřízení kotlů,</w:t>
      </w:r>
    </w:p>
    <w:p w14:paraId="6A1A677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a seřízení hořáků,</w:t>
      </w:r>
    </w:p>
    <w:p w14:paraId="1200EB7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kouřovodů a komínových průduchů,</w:t>
      </w:r>
    </w:p>
    <w:p w14:paraId="48572CB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 xml:space="preserve">kontrola a seřízení </w:t>
      </w:r>
      <w:proofErr w:type="gramStart"/>
      <w:r w:rsidRPr="006C6355">
        <w:t>řídícího</w:t>
      </w:r>
      <w:proofErr w:type="gramEnd"/>
      <w:r w:rsidRPr="006C6355">
        <w:t xml:space="preserve"> systému a prvků </w:t>
      </w:r>
      <w:proofErr w:type="spellStart"/>
      <w:r w:rsidRPr="006C6355">
        <w:t>MaR</w:t>
      </w:r>
      <w:proofErr w:type="spellEnd"/>
      <w:r w:rsidRPr="006C6355">
        <w:t>,</w:t>
      </w:r>
    </w:p>
    <w:p w14:paraId="535C6B6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servis hlásiče poruch,</w:t>
      </w:r>
    </w:p>
    <w:p w14:paraId="1B9174B0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servis regulátorů plynu,</w:t>
      </w:r>
    </w:p>
    <w:p w14:paraId="363639BD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kalibrace detekce úniku plynu,</w:t>
      </w:r>
    </w:p>
    <w:p w14:paraId="5951CB2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servis expanzních nádob,</w:t>
      </w:r>
    </w:p>
    <w:p w14:paraId="31EC23B6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servis a zařízení pro dálkový dohled kotelny.</w:t>
      </w:r>
    </w:p>
    <w:p w14:paraId="17964263" w14:textId="77777777" w:rsidR="00D716B7" w:rsidRPr="006C6355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sectPr w:rsidR="00D716B7" w:rsidRPr="006C6355" w:rsidSect="00D716B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E5640" w14:textId="77777777" w:rsidR="00A7623D" w:rsidRDefault="00A7623D" w:rsidP="00962258">
      <w:pPr>
        <w:spacing w:after="0" w:line="240" w:lineRule="auto"/>
      </w:pPr>
      <w:r>
        <w:separator/>
      </w:r>
    </w:p>
  </w:endnote>
  <w:endnote w:type="continuationSeparator" w:id="0">
    <w:p w14:paraId="43096C20" w14:textId="77777777" w:rsidR="00A7623D" w:rsidRDefault="00A762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0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21AF4" w14:textId="77777777" w:rsidR="00A7623D" w:rsidRDefault="00A7623D" w:rsidP="00962258">
      <w:pPr>
        <w:spacing w:after="0" w:line="240" w:lineRule="auto"/>
      </w:pPr>
      <w:r>
        <w:separator/>
      </w:r>
    </w:p>
  </w:footnote>
  <w:footnote w:type="continuationSeparator" w:id="0">
    <w:p w14:paraId="54662D98" w14:textId="77777777" w:rsidR="00A7623D" w:rsidRDefault="00A762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8020D9"/>
    <w:multiLevelType w:val="hybridMultilevel"/>
    <w:tmpl w:val="B07C08D4"/>
    <w:lvl w:ilvl="0" w:tplc="694E4A0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5A3B4863"/>
    <w:multiLevelType w:val="hybridMultilevel"/>
    <w:tmpl w:val="A9B86188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0098F"/>
    <w:rsid w:val="00511AB9"/>
    <w:rsid w:val="00523EA7"/>
    <w:rsid w:val="00553375"/>
    <w:rsid w:val="005736B7"/>
    <w:rsid w:val="00575E5A"/>
    <w:rsid w:val="00595F96"/>
    <w:rsid w:val="005A42AD"/>
    <w:rsid w:val="005D2BAC"/>
    <w:rsid w:val="005F1404"/>
    <w:rsid w:val="0061068E"/>
    <w:rsid w:val="00660AD3"/>
    <w:rsid w:val="00677B7F"/>
    <w:rsid w:val="006A5570"/>
    <w:rsid w:val="006A689C"/>
    <w:rsid w:val="006B3D79"/>
    <w:rsid w:val="006C6355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623D"/>
    <w:rsid w:val="00A9658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0FD"/>
    <w:rsid w:val="00C4005F"/>
    <w:rsid w:val="00C44F6A"/>
    <w:rsid w:val="00C47AE3"/>
    <w:rsid w:val="00CD1FC4"/>
    <w:rsid w:val="00D13080"/>
    <w:rsid w:val="00D21061"/>
    <w:rsid w:val="00D40AE3"/>
    <w:rsid w:val="00D4108E"/>
    <w:rsid w:val="00D6163D"/>
    <w:rsid w:val="00D716B7"/>
    <w:rsid w:val="00D831A3"/>
    <w:rsid w:val="00D90F1F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B08A-8377-4247-9AE4-233AF639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4</cp:revision>
  <cp:lastPrinted>2019-05-06T07:37:00Z</cp:lastPrinted>
  <dcterms:created xsi:type="dcterms:W3CDTF">2019-05-05T19:12:00Z</dcterms:created>
  <dcterms:modified xsi:type="dcterms:W3CDTF">2019-05-06T07:37:00Z</dcterms:modified>
</cp:coreProperties>
</file>